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1F15" w14:textId="455A21F6" w:rsidR="00485EE7" w:rsidRDefault="00CA4BB0" w:rsidP="00485EE7">
      <w:pPr>
        <w:pStyle w:val="CM6"/>
        <w:spacing w:after="435"/>
        <w:jc w:val="center"/>
        <w:rPr>
          <w:rFonts w:cs="Calibri"/>
          <w:i/>
          <w:iCs/>
          <w:color w:val="000000"/>
          <w:sz w:val="22"/>
          <w:szCs w:val="22"/>
        </w:rPr>
      </w:pPr>
      <w:r>
        <w:rPr>
          <w:rFonts w:cs="Calibri"/>
          <w:i/>
          <w:iCs/>
          <w:color w:val="000000"/>
          <w:sz w:val="22"/>
          <w:szCs w:val="22"/>
        </w:rPr>
        <w:t>Bryn Mawr College Curriculu</w:t>
      </w:r>
      <w:r w:rsidR="00321150">
        <w:rPr>
          <w:rFonts w:cs="Calibri"/>
          <w:i/>
          <w:iCs/>
          <w:color w:val="000000"/>
          <w:sz w:val="22"/>
          <w:szCs w:val="22"/>
        </w:rPr>
        <w:t xml:space="preserve">m Committee </w:t>
      </w:r>
    </w:p>
    <w:p w14:paraId="5BA909AC" w14:textId="1F3813BE" w:rsidR="00321150" w:rsidRPr="00321150" w:rsidRDefault="00321150" w:rsidP="00321150">
      <w:pPr>
        <w:pStyle w:val="Default"/>
      </w:pPr>
      <w:r>
        <w:t xml:space="preserve">*Submit completed form to </w:t>
      </w:r>
      <w:r w:rsidR="00A83615">
        <w:t>Kirsten O’Beirne</w:t>
      </w:r>
      <w:r>
        <w:t xml:space="preserve"> (</w:t>
      </w:r>
      <w:hyperlink r:id="rId5" w:history="1">
        <w:r w:rsidR="00A83615" w:rsidRPr="00CB3FF3">
          <w:rPr>
            <w:rStyle w:val="Hyperlink"/>
            <w:rFonts w:cs="Calibri"/>
          </w:rPr>
          <w:t>registrar@brynmawr.edu</w:t>
        </w:r>
      </w:hyperlink>
      <w:r>
        <w:t>).</w:t>
      </w:r>
    </w:p>
    <w:p w14:paraId="7EE4E94B" w14:textId="77777777" w:rsidR="00CA4BB0" w:rsidRDefault="00CA4BB0">
      <w:pPr>
        <w:pStyle w:val="Default"/>
        <w:rPr>
          <w:sz w:val="22"/>
          <w:szCs w:val="22"/>
        </w:rPr>
      </w:pPr>
      <w:r>
        <w:rPr>
          <w:sz w:val="22"/>
          <w:szCs w:val="22"/>
        </w:rPr>
        <w:t xml:space="preserve"> </w:t>
      </w:r>
    </w:p>
    <w:p w14:paraId="2ED6CBF9" w14:textId="77777777" w:rsidR="00CA4BB0" w:rsidRDefault="00CA4BB0">
      <w:pPr>
        <w:pStyle w:val="CM7"/>
        <w:spacing w:after="130"/>
        <w:rPr>
          <w:rFonts w:ascii="Cambria" w:hAnsi="Cambria" w:cs="Cambria"/>
          <w:color w:val="000000"/>
          <w:sz w:val="28"/>
          <w:szCs w:val="28"/>
        </w:rPr>
      </w:pPr>
      <w:r>
        <w:rPr>
          <w:rFonts w:ascii="Cambria" w:hAnsi="Cambria" w:cs="Cambria"/>
          <w:b/>
          <w:bCs/>
          <w:i/>
          <w:iCs/>
          <w:color w:val="000000"/>
          <w:sz w:val="28"/>
          <w:szCs w:val="28"/>
        </w:rPr>
        <w:t xml:space="preserve">Proposal to Fulfill Approaches to Inquiry Requirement </w:t>
      </w:r>
    </w:p>
    <w:p w14:paraId="015BCE53" w14:textId="77777777" w:rsidR="00CA4BB0" w:rsidRDefault="00CA4BB0">
      <w:pPr>
        <w:pStyle w:val="CM6"/>
        <w:spacing w:after="435" w:line="311" w:lineRule="atLeast"/>
        <w:ind w:right="522"/>
        <w:rPr>
          <w:rFonts w:cs="Calibri"/>
          <w:color w:val="000000"/>
          <w:sz w:val="22"/>
          <w:szCs w:val="22"/>
        </w:rPr>
      </w:pPr>
      <w:r>
        <w:rPr>
          <w:rFonts w:cs="Calibri"/>
          <w:b/>
          <w:bCs/>
          <w:i/>
          <w:iCs/>
          <w:color w:val="000000"/>
          <w:sz w:val="22"/>
          <w:szCs w:val="22"/>
        </w:rPr>
        <w:t xml:space="preserve">While many courses effectively integrate a variety of modes of inquiry, the </w:t>
      </w:r>
      <w:proofErr w:type="gramStart"/>
      <w:r>
        <w:rPr>
          <w:rFonts w:cs="Calibri"/>
          <w:b/>
          <w:bCs/>
          <w:i/>
          <w:iCs/>
          <w:color w:val="000000"/>
          <w:sz w:val="22"/>
          <w:szCs w:val="22"/>
        </w:rPr>
        <w:t>Faculty</w:t>
      </w:r>
      <w:proofErr w:type="gramEnd"/>
      <w:r>
        <w:rPr>
          <w:rFonts w:cs="Calibri"/>
          <w:b/>
          <w:bCs/>
          <w:i/>
          <w:iCs/>
          <w:color w:val="000000"/>
          <w:sz w:val="22"/>
          <w:szCs w:val="22"/>
        </w:rPr>
        <w:t xml:space="preserve"> agreed that a course meeting the distribution requirement </w:t>
      </w:r>
      <w:proofErr w:type="gramStart"/>
      <w:r>
        <w:rPr>
          <w:rFonts w:cs="Calibri"/>
          <w:b/>
          <w:bCs/>
          <w:i/>
          <w:iCs/>
          <w:color w:val="000000"/>
          <w:sz w:val="22"/>
          <w:szCs w:val="22"/>
        </w:rPr>
        <w:t>should so</w:t>
      </w:r>
      <w:proofErr w:type="gramEnd"/>
      <w:r>
        <w:rPr>
          <w:rFonts w:cs="Calibri"/>
          <w:b/>
          <w:bCs/>
          <w:i/>
          <w:iCs/>
          <w:color w:val="000000"/>
          <w:sz w:val="22"/>
          <w:szCs w:val="22"/>
        </w:rPr>
        <w:t xml:space="preserve"> emphasize engagement with one (or in exceptional circumstances a second) designated Approach to Inquiry (see reverse) that upon completion the student would be well position to articulate the nature of the Approach. </w:t>
      </w:r>
    </w:p>
    <w:p w14:paraId="3A0708D7" w14:textId="77777777" w:rsidR="00CA4BB0" w:rsidRDefault="00CA4BB0">
      <w:pPr>
        <w:pStyle w:val="CM8"/>
        <w:spacing w:after="220" w:line="431" w:lineRule="atLeast"/>
        <w:rPr>
          <w:rFonts w:cs="Calibri"/>
          <w:color w:val="000000"/>
          <w:sz w:val="22"/>
          <w:szCs w:val="22"/>
        </w:rPr>
      </w:pPr>
      <w:r>
        <w:rPr>
          <w:rFonts w:cs="Calibri"/>
          <w:color w:val="000000"/>
          <w:sz w:val="22"/>
          <w:szCs w:val="22"/>
        </w:rPr>
        <w:t xml:space="preserve">Instructor Name _______________________________ Department __________________________________ Form Submission Date: ___________________ Dept. Chair Name ___________________________ Has Chair Approved Proposal? Yes No </w:t>
      </w:r>
    </w:p>
    <w:p w14:paraId="3AEAECE9" w14:textId="77777777" w:rsidR="00CA4BB0" w:rsidRDefault="00CA4BB0">
      <w:pPr>
        <w:pStyle w:val="CM7"/>
        <w:spacing w:after="130" w:line="338" w:lineRule="atLeast"/>
        <w:ind w:right="210"/>
        <w:rPr>
          <w:rFonts w:cs="Calibri"/>
          <w:color w:val="000000"/>
          <w:sz w:val="23"/>
          <w:szCs w:val="23"/>
        </w:rPr>
      </w:pPr>
      <w:r>
        <w:rPr>
          <w:rFonts w:cs="Calibri"/>
          <w:b/>
          <w:bCs/>
          <w:i/>
          <w:iCs/>
          <w:color w:val="000000"/>
          <w:sz w:val="23"/>
          <w:szCs w:val="23"/>
        </w:rPr>
        <w:t xml:space="preserve">Attaching a syllabus or preliminary syllabus that includes student learning goals and course outcomes may be the easiest way to clarify how this course will help students articulate the way scholars in your discipline engage in this approach to inquiry </w:t>
      </w:r>
    </w:p>
    <w:p w14:paraId="618F6C8D" w14:textId="77777777" w:rsidR="00CA4BB0" w:rsidRDefault="00CA4BB0">
      <w:pPr>
        <w:pStyle w:val="CM3"/>
        <w:rPr>
          <w:rFonts w:cs="Calibri"/>
          <w:color w:val="000000"/>
          <w:sz w:val="22"/>
          <w:szCs w:val="22"/>
        </w:rPr>
      </w:pPr>
      <w:r>
        <w:rPr>
          <w:rFonts w:cs="Calibri"/>
          <w:color w:val="000000"/>
          <w:sz w:val="22"/>
          <w:szCs w:val="22"/>
        </w:rPr>
        <w:t xml:space="preserve">Course Number and Title _____________________________________________________ </w:t>
      </w:r>
    </w:p>
    <w:p w14:paraId="5644491E" w14:textId="77777777" w:rsidR="00CA4BB0" w:rsidRDefault="00CA4BB0">
      <w:pPr>
        <w:pStyle w:val="CM3"/>
        <w:rPr>
          <w:rFonts w:cs="Calibri"/>
          <w:color w:val="000000"/>
          <w:sz w:val="22"/>
          <w:szCs w:val="22"/>
        </w:rPr>
      </w:pPr>
      <w:r>
        <w:rPr>
          <w:rFonts w:cs="Calibri"/>
          <w:color w:val="000000"/>
          <w:sz w:val="22"/>
          <w:szCs w:val="22"/>
        </w:rPr>
        <w:t xml:space="preserve">Identify the Approach to Inquiry (described on the reverse) requirement the course will fulfill. </w:t>
      </w:r>
    </w:p>
    <w:p w14:paraId="14B5F352" w14:textId="77777777" w:rsidR="00CA4BB0" w:rsidRDefault="00CA4BB0">
      <w:pPr>
        <w:pStyle w:val="Default"/>
        <w:spacing w:line="431" w:lineRule="atLeast"/>
        <w:ind w:left="720"/>
        <w:rPr>
          <w:sz w:val="22"/>
          <w:szCs w:val="22"/>
        </w:rPr>
      </w:pPr>
      <w:r>
        <w:rPr>
          <w:sz w:val="22"/>
          <w:szCs w:val="22"/>
        </w:rPr>
        <w:t xml:space="preserve">SI (Scientific Investigations) ___ CI (Critical Interpretation) ___ </w:t>
      </w:r>
    </w:p>
    <w:p w14:paraId="23444817" w14:textId="77777777" w:rsidR="00CA4BB0" w:rsidRDefault="00CA4BB0">
      <w:pPr>
        <w:pStyle w:val="Default"/>
        <w:spacing w:line="451" w:lineRule="atLeast"/>
        <w:ind w:firstLine="720"/>
        <w:rPr>
          <w:sz w:val="22"/>
          <w:szCs w:val="22"/>
        </w:rPr>
      </w:pPr>
      <w:r>
        <w:rPr>
          <w:sz w:val="22"/>
          <w:szCs w:val="22"/>
        </w:rPr>
        <w:t xml:space="preserve">CC (Cross‐Cultural Analysis) ___ IP (Investigation into the Past) ___ Which learning goals from the syllabus demonstrate how the course will satisfy the indicated Approach? </w:t>
      </w:r>
    </w:p>
    <w:p w14:paraId="0D8E4FC8" w14:textId="77777777" w:rsidR="00CA4BB0" w:rsidRDefault="00CA4BB0">
      <w:pPr>
        <w:pStyle w:val="CM6"/>
        <w:pageBreakBefore/>
        <w:spacing w:after="435"/>
        <w:jc w:val="center"/>
        <w:rPr>
          <w:rFonts w:cs="Calibri"/>
          <w:color w:val="000000"/>
          <w:sz w:val="22"/>
          <w:szCs w:val="22"/>
        </w:rPr>
      </w:pPr>
      <w:r>
        <w:rPr>
          <w:rFonts w:cs="Calibri"/>
          <w:i/>
          <w:iCs/>
          <w:color w:val="000000"/>
          <w:sz w:val="22"/>
          <w:szCs w:val="22"/>
        </w:rPr>
        <w:lastRenderedPageBreak/>
        <w:t>Bryn Mawr College Curricul</w:t>
      </w:r>
      <w:r w:rsidR="00485EE7">
        <w:rPr>
          <w:rFonts w:cs="Calibri"/>
          <w:i/>
          <w:iCs/>
          <w:color w:val="000000"/>
          <w:sz w:val="22"/>
          <w:szCs w:val="22"/>
        </w:rPr>
        <w:t xml:space="preserve">um Committee </w:t>
      </w:r>
      <w:r>
        <w:rPr>
          <w:rFonts w:cs="Calibri"/>
          <w:i/>
          <w:iCs/>
          <w:color w:val="000000"/>
          <w:sz w:val="22"/>
          <w:szCs w:val="22"/>
        </w:rPr>
        <w:t xml:space="preserve"> </w:t>
      </w:r>
    </w:p>
    <w:p w14:paraId="279772B1" w14:textId="77777777" w:rsidR="00CA4BB0" w:rsidRDefault="00CA4BB0">
      <w:pPr>
        <w:pStyle w:val="Default"/>
        <w:rPr>
          <w:rFonts w:cs="Times New Roman"/>
          <w:color w:val="auto"/>
        </w:rPr>
      </w:pPr>
    </w:p>
    <w:p w14:paraId="7817AB44" w14:textId="77777777" w:rsidR="00CA4BB0" w:rsidRDefault="00CA4BB0">
      <w:pPr>
        <w:pStyle w:val="CM8"/>
        <w:spacing w:after="220"/>
        <w:jc w:val="center"/>
        <w:rPr>
          <w:rFonts w:ascii="Cambria" w:hAnsi="Cambria" w:cs="Cambria"/>
          <w:sz w:val="28"/>
          <w:szCs w:val="28"/>
        </w:rPr>
      </w:pPr>
      <w:r>
        <w:rPr>
          <w:rFonts w:ascii="Cambria" w:hAnsi="Cambria" w:cs="Cambria"/>
          <w:b/>
          <w:bCs/>
          <w:i/>
          <w:iCs/>
          <w:sz w:val="28"/>
          <w:szCs w:val="28"/>
        </w:rPr>
        <w:t xml:space="preserve">Approaches to Inquiry </w:t>
      </w:r>
    </w:p>
    <w:p w14:paraId="3F124E08" w14:textId="77777777" w:rsidR="00CA4BB0" w:rsidRDefault="00CA4BB0">
      <w:pPr>
        <w:pStyle w:val="Default"/>
        <w:spacing w:after="307"/>
        <w:rPr>
          <w:color w:val="auto"/>
          <w:sz w:val="22"/>
          <w:szCs w:val="22"/>
        </w:rPr>
      </w:pPr>
      <w:r>
        <w:rPr>
          <w:b/>
          <w:bCs/>
          <w:i/>
          <w:iCs/>
          <w:color w:val="auto"/>
          <w:sz w:val="22"/>
          <w:szCs w:val="22"/>
        </w:rPr>
        <w:t xml:space="preserve">1. Scientific Investigation (SI): understanding the natural world by testing hypotheses against observational evidence. </w:t>
      </w:r>
    </w:p>
    <w:p w14:paraId="3C486C56" w14:textId="77777777" w:rsidR="00CA4BB0" w:rsidRDefault="00CA4BB0">
      <w:pPr>
        <w:pStyle w:val="Default"/>
        <w:spacing w:after="307"/>
        <w:rPr>
          <w:color w:val="auto"/>
          <w:sz w:val="22"/>
          <w:szCs w:val="22"/>
        </w:rPr>
      </w:pPr>
      <w:r>
        <w:rPr>
          <w:b/>
          <w:bCs/>
          <w:i/>
          <w:iCs/>
          <w:color w:val="auto"/>
          <w:sz w:val="22"/>
          <w:szCs w:val="22"/>
        </w:rPr>
        <w:t xml:space="preserve">These are courses in which the student engages in the observational and analytical practices that aim at producing causal understandings of the natural world. They engage students in the process of making observations or measurements and evaluating their consistency with models, hypotheses or other accounts of the natural world. In most, but not all, cases this will involve participation in </w:t>
      </w:r>
      <w:proofErr w:type="gramStart"/>
      <w:r>
        <w:rPr>
          <w:b/>
          <w:bCs/>
          <w:i/>
          <w:iCs/>
          <w:color w:val="auto"/>
          <w:sz w:val="22"/>
          <w:szCs w:val="22"/>
        </w:rPr>
        <w:t>a laboratory</w:t>
      </w:r>
      <w:proofErr w:type="gramEnd"/>
      <w:r>
        <w:rPr>
          <w:b/>
          <w:bCs/>
          <w:i/>
          <w:iCs/>
          <w:color w:val="auto"/>
          <w:sz w:val="22"/>
          <w:szCs w:val="22"/>
        </w:rPr>
        <w:t xml:space="preserve"> experience and will go beyond describing the process of model testing or the knowledge that comes from scientific investigation. </w:t>
      </w:r>
    </w:p>
    <w:p w14:paraId="4170FA81" w14:textId="77777777" w:rsidR="00CA4BB0" w:rsidRDefault="00CA4BB0">
      <w:pPr>
        <w:pStyle w:val="Default"/>
        <w:spacing w:after="308"/>
        <w:rPr>
          <w:color w:val="auto"/>
          <w:sz w:val="22"/>
          <w:szCs w:val="22"/>
        </w:rPr>
      </w:pPr>
      <w:r>
        <w:rPr>
          <w:b/>
          <w:bCs/>
          <w:i/>
          <w:iCs/>
          <w:color w:val="auto"/>
          <w:sz w:val="22"/>
          <w:szCs w:val="22"/>
        </w:rPr>
        <w:t xml:space="preserve">2. Critical Interpretation (CI): critically interpreting works, such as texts, objects, artistic creations and performances, through a process of </w:t>
      </w:r>
      <w:proofErr w:type="gramStart"/>
      <w:r>
        <w:rPr>
          <w:b/>
          <w:bCs/>
          <w:i/>
          <w:iCs/>
          <w:color w:val="auto"/>
          <w:sz w:val="22"/>
          <w:szCs w:val="22"/>
        </w:rPr>
        <w:t>close‐reading</w:t>
      </w:r>
      <w:proofErr w:type="gramEnd"/>
      <w:r>
        <w:rPr>
          <w:b/>
          <w:bCs/>
          <w:i/>
          <w:iCs/>
          <w:color w:val="auto"/>
          <w:sz w:val="22"/>
          <w:szCs w:val="22"/>
        </w:rPr>
        <w:t xml:space="preserve">. </w:t>
      </w:r>
    </w:p>
    <w:p w14:paraId="264709D8" w14:textId="77777777" w:rsidR="00CA4BB0" w:rsidRDefault="00CA4BB0">
      <w:pPr>
        <w:pStyle w:val="Default"/>
        <w:spacing w:after="308"/>
        <w:rPr>
          <w:color w:val="auto"/>
          <w:sz w:val="22"/>
          <w:szCs w:val="22"/>
        </w:rPr>
      </w:pPr>
      <w:r>
        <w:rPr>
          <w:b/>
          <w:bCs/>
          <w:i/>
          <w:iCs/>
          <w:color w:val="auto"/>
          <w:sz w:val="22"/>
          <w:szCs w:val="22"/>
        </w:rPr>
        <w:t>Engaging students in the practice of interpreting the meanings of texts, objects, artistic creations, or performances (whether one’s own or the work of others) through “</w:t>
      </w:r>
      <w:proofErr w:type="gramStart"/>
      <w:r>
        <w:rPr>
          <w:b/>
          <w:bCs/>
          <w:i/>
          <w:iCs/>
          <w:color w:val="auto"/>
          <w:sz w:val="22"/>
          <w:szCs w:val="22"/>
        </w:rPr>
        <w:t>close‐reading</w:t>
      </w:r>
      <w:proofErr w:type="gramEnd"/>
      <w:r>
        <w:rPr>
          <w:b/>
          <w:bCs/>
          <w:i/>
          <w:iCs/>
          <w:color w:val="auto"/>
          <w:sz w:val="22"/>
          <w:szCs w:val="22"/>
        </w:rPr>
        <w:t xml:space="preserve">” of those works. </w:t>
      </w:r>
    </w:p>
    <w:p w14:paraId="0E517B4A" w14:textId="77777777" w:rsidR="00CA4BB0" w:rsidRDefault="00CA4BB0">
      <w:pPr>
        <w:pStyle w:val="Default"/>
        <w:spacing w:after="308"/>
        <w:rPr>
          <w:color w:val="auto"/>
          <w:sz w:val="22"/>
          <w:szCs w:val="22"/>
        </w:rPr>
      </w:pPr>
      <w:r>
        <w:rPr>
          <w:b/>
          <w:bCs/>
          <w:i/>
          <w:iCs/>
          <w:color w:val="auto"/>
          <w:sz w:val="22"/>
          <w:szCs w:val="22"/>
        </w:rPr>
        <w:t xml:space="preserve">3. Cross‐Cultural Analysis (CC): analyzing the variety of societal systems and patterns of behavior across space. </w:t>
      </w:r>
    </w:p>
    <w:p w14:paraId="66F374DC" w14:textId="77777777" w:rsidR="00CA4BB0" w:rsidRDefault="00CA4BB0">
      <w:pPr>
        <w:pStyle w:val="Default"/>
        <w:spacing w:after="308"/>
        <w:rPr>
          <w:color w:val="auto"/>
          <w:sz w:val="22"/>
          <w:szCs w:val="22"/>
        </w:rPr>
      </w:pPr>
      <w:r>
        <w:rPr>
          <w:b/>
          <w:bCs/>
          <w:i/>
          <w:iCs/>
          <w:color w:val="auto"/>
          <w:sz w:val="22"/>
          <w:szCs w:val="22"/>
        </w:rPr>
        <w:t xml:space="preserve">These courses encourage the student’s engagement with communities and cultures removed from </w:t>
      </w:r>
      <w:proofErr w:type="gramStart"/>
      <w:r>
        <w:rPr>
          <w:b/>
          <w:bCs/>
          <w:i/>
          <w:iCs/>
          <w:color w:val="auto"/>
          <w:sz w:val="22"/>
          <w:szCs w:val="22"/>
        </w:rPr>
        <w:t>her</w:t>
      </w:r>
      <w:proofErr w:type="gramEnd"/>
      <w:r>
        <w:rPr>
          <w:b/>
          <w:bCs/>
          <w:i/>
          <w:iCs/>
          <w:color w:val="auto"/>
          <w:sz w:val="22"/>
          <w:szCs w:val="22"/>
        </w:rPr>
        <w:t xml:space="preserve"> own. Using the tools, methodologies and practices that inform our scholarship, students will develop a clearer and richer sense of what it means to analyze or interpret a human life or community within a "culture.” A central goal is to overcome the tendency to think that our own culture is the only one that matters. </w:t>
      </w:r>
    </w:p>
    <w:p w14:paraId="24D717DB" w14:textId="77777777" w:rsidR="00CA4BB0" w:rsidRDefault="00CA4BB0">
      <w:pPr>
        <w:pStyle w:val="Default"/>
        <w:rPr>
          <w:color w:val="auto"/>
          <w:sz w:val="22"/>
          <w:szCs w:val="22"/>
        </w:rPr>
      </w:pPr>
      <w:r>
        <w:rPr>
          <w:b/>
          <w:bCs/>
          <w:i/>
          <w:iCs/>
          <w:color w:val="auto"/>
          <w:sz w:val="22"/>
          <w:szCs w:val="22"/>
        </w:rPr>
        <w:t xml:space="preserve">4. Inquiry into the Past (IP): inquiring into the development and transformation of human experience over time. </w:t>
      </w:r>
    </w:p>
    <w:p w14:paraId="6ABAF0AB" w14:textId="77777777" w:rsidR="00CA4BB0" w:rsidRDefault="00CA4BB0">
      <w:pPr>
        <w:pStyle w:val="Default"/>
        <w:rPr>
          <w:color w:val="auto"/>
          <w:sz w:val="22"/>
          <w:szCs w:val="22"/>
        </w:rPr>
      </w:pPr>
    </w:p>
    <w:p w14:paraId="20AFAE3C" w14:textId="77777777" w:rsidR="00CA4BB0" w:rsidRDefault="00CA4BB0">
      <w:pPr>
        <w:pStyle w:val="Default"/>
        <w:spacing w:line="311" w:lineRule="atLeast"/>
        <w:ind w:left="720" w:right="80"/>
      </w:pPr>
      <w:r>
        <w:rPr>
          <w:b/>
          <w:bCs/>
          <w:i/>
          <w:iCs/>
          <w:color w:val="auto"/>
          <w:sz w:val="22"/>
          <w:szCs w:val="22"/>
        </w:rPr>
        <w:t xml:space="preserve">These courses encourage the student to engage intellectually with peoples, communities, and polities existing in a different historical context. Using the tools, methodologies and practices that inform our scholarship, students will develop a clearer and richer sense of what it means to analyze or interpret a human life or community in the past. The aim is to have students view cultures, peoples, polities, events, and institutions on their own terms, rather than through the lens of the present. </w:t>
      </w:r>
    </w:p>
    <w:sectPr w:rsidR="00CA4BB0">
      <w:pgSz w:w="12240" w:h="16340"/>
      <w:pgMar w:top="1162" w:right="1098" w:bottom="1440" w:left="122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B576F"/>
    <w:multiLevelType w:val="hybridMultilevel"/>
    <w:tmpl w:val="FFFFFFF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766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E7"/>
    <w:rsid w:val="00321150"/>
    <w:rsid w:val="00485EE7"/>
    <w:rsid w:val="00A83615"/>
    <w:rsid w:val="00AA21C4"/>
    <w:rsid w:val="00CA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398F7"/>
  <w14:defaultImageDpi w14:val="0"/>
  <w15:docId w15:val="{45530E86-D750-410F-9649-A1667C19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311" w:lineRule="atLeast"/>
    </w:pPr>
    <w:rPr>
      <w:rFonts w:cs="Times New Roman"/>
      <w:color w:val="auto"/>
    </w:rPr>
  </w:style>
  <w:style w:type="paragraph" w:customStyle="1" w:styleId="CM3">
    <w:name w:val="CM3"/>
    <w:basedOn w:val="Default"/>
    <w:next w:val="Default"/>
    <w:uiPriority w:val="99"/>
    <w:pPr>
      <w:spacing w:line="431" w:lineRule="atLeast"/>
    </w:pPr>
    <w:rPr>
      <w:rFonts w:cs="Times New Roman"/>
      <w:color w:val="auto"/>
    </w:rPr>
  </w:style>
  <w:style w:type="paragraph" w:customStyle="1" w:styleId="CM8">
    <w:name w:val="CM8"/>
    <w:basedOn w:val="Default"/>
    <w:next w:val="Default"/>
    <w:uiPriority w:val="99"/>
    <w:rPr>
      <w:rFonts w:cs="Times New Roman"/>
      <w:color w:val="auto"/>
    </w:rPr>
  </w:style>
  <w:style w:type="character" w:styleId="Hyperlink">
    <w:name w:val="Hyperlink"/>
    <w:basedOn w:val="DefaultParagraphFont"/>
    <w:uiPriority w:val="99"/>
    <w:unhideWhenUsed/>
    <w:rsid w:val="00321150"/>
    <w:rPr>
      <w:rFonts w:cs="Times New Roman"/>
      <w:color w:val="0000FF" w:themeColor="hyperlink"/>
      <w:u w:val="single"/>
    </w:rPr>
  </w:style>
  <w:style w:type="character" w:styleId="UnresolvedMention">
    <w:name w:val="Unresolved Mention"/>
    <w:basedOn w:val="DefaultParagraphFont"/>
    <w:uiPriority w:val="99"/>
    <w:semiHidden/>
    <w:unhideWhenUsed/>
    <w:rsid w:val="00A8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ar@brynmaw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3628</Characters>
  <Application>Microsoft Office Word</Application>
  <DocSecurity>0</DocSecurity>
  <Lines>74</Lines>
  <Paragraphs>74</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O'Beirne</dc:creator>
  <cp:keywords/>
  <dc:description/>
  <cp:lastModifiedBy>Kirsten O'Beirne</cp:lastModifiedBy>
  <cp:revision>2</cp:revision>
  <dcterms:created xsi:type="dcterms:W3CDTF">2024-12-13T22:04:00Z</dcterms:created>
  <dcterms:modified xsi:type="dcterms:W3CDTF">2024-12-13T22:04:00Z</dcterms:modified>
</cp:coreProperties>
</file>